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F9" w:rsidRPr="00F51E4A" w:rsidRDefault="00134FF9" w:rsidP="00134FF9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51E4A">
        <w:rPr>
          <w:rFonts w:ascii="Times New Roman" w:hAnsi="Times New Roman" w:cs="Times New Roman"/>
          <w:sz w:val="24"/>
          <w:szCs w:val="24"/>
          <w:lang w:val="en-US"/>
        </w:rPr>
        <w:t>Extras</w:t>
      </w:r>
    </w:p>
    <w:p w:rsidR="00134FF9" w:rsidRPr="00572EA7" w:rsidRDefault="00134FF9" w:rsidP="00134FF9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  <w:r w:rsidRPr="00572EA7">
        <w:rPr>
          <w:rFonts w:ascii="Times New Roman" w:hAnsi="Times New Roman" w:cs="Times New Roman"/>
          <w:b/>
          <w:bCs/>
          <w:i/>
          <w:iCs/>
          <w:lang w:val="ro-RO"/>
        </w:rPr>
        <w:t>din procesul verbal nr. 1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0</w:t>
      </w:r>
      <w:r w:rsidRPr="00572EA7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B772FD">
        <w:rPr>
          <w:rFonts w:ascii="Times New Roman" w:hAnsi="Times New Roman" w:cs="Times New Roman"/>
          <w:b/>
          <w:bCs/>
          <w:i/>
          <w:iCs/>
          <w:lang w:val="ro-RO"/>
        </w:rPr>
        <w:t xml:space="preserve">din </w:t>
      </w:r>
      <w:r>
        <w:rPr>
          <w:rFonts w:ascii="Times New Roman" w:hAnsi="Times New Roman" w:cs="Times New Roman"/>
          <w:b/>
          <w:bCs/>
          <w:lang w:val="ro-RO"/>
        </w:rPr>
        <w:t>12</w:t>
      </w:r>
      <w:r w:rsidRPr="00B772FD">
        <w:rPr>
          <w:rFonts w:ascii="Times New Roman" w:hAnsi="Times New Roman" w:cs="Times New Roman"/>
          <w:b/>
          <w:bCs/>
          <w:lang w:val="ro-RO"/>
        </w:rPr>
        <w:t xml:space="preserve"> mai 202</w:t>
      </w:r>
      <w:r>
        <w:rPr>
          <w:rFonts w:ascii="Times New Roman" w:hAnsi="Times New Roman" w:cs="Times New Roman"/>
          <w:b/>
          <w:bCs/>
          <w:lang w:val="ro-RO"/>
        </w:rPr>
        <w:t>6</w:t>
      </w:r>
    </w:p>
    <w:p w:rsidR="00134FF9" w:rsidRPr="00572EA7" w:rsidRDefault="00134FF9" w:rsidP="00134FF9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  <w:r w:rsidRPr="00572EA7">
        <w:rPr>
          <w:rFonts w:ascii="Times New Roman" w:hAnsi="Times New Roman" w:cs="Times New Roman"/>
          <w:b/>
          <w:bCs/>
          <w:i/>
          <w:iCs/>
          <w:lang w:val="ro-RO"/>
        </w:rPr>
        <w:t>al şedinţei ordinare a Senatului Academiei „Ştefan cel Mare”</w:t>
      </w:r>
    </w:p>
    <w:p w:rsidR="00134FF9" w:rsidRPr="00B772FD" w:rsidRDefault="00134FF9" w:rsidP="00134FF9">
      <w:pPr>
        <w:rPr>
          <w:rFonts w:ascii="Times New Roman" w:hAnsi="Times New Roman" w:cs="Times New Roman"/>
          <w:b/>
          <w:lang w:val="ro-RO"/>
        </w:rPr>
      </w:pPr>
      <w:proofErr w:type="spellStart"/>
      <w:r w:rsidRPr="00F51E4A">
        <w:rPr>
          <w:rFonts w:ascii="Times New Roman" w:hAnsi="Times New Roman" w:cs="Times New Roman"/>
          <w:b/>
          <w:lang w:val="en-US"/>
        </w:rPr>
        <w:t>Ordinea</w:t>
      </w:r>
      <w:proofErr w:type="spellEnd"/>
      <w:r w:rsidRPr="00F51E4A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F51E4A">
        <w:rPr>
          <w:rFonts w:ascii="Times New Roman" w:hAnsi="Times New Roman" w:cs="Times New Roman"/>
          <w:b/>
          <w:lang w:val="en-US"/>
        </w:rPr>
        <w:t>zi</w:t>
      </w:r>
      <w:proofErr w:type="spellEnd"/>
      <w:r w:rsidRPr="00B772FD">
        <w:rPr>
          <w:rFonts w:ascii="Times New Roman" w:hAnsi="Times New Roman" w:cs="Times New Roman"/>
          <w:b/>
          <w:lang w:val="ro-RO"/>
        </w:rPr>
        <w:t xml:space="preserve">:  </w:t>
      </w:r>
      <w:r>
        <w:rPr>
          <w:rFonts w:ascii="Times New Roman" w:hAnsi="Times New Roman" w:cs="Times New Roman"/>
          <w:b/>
          <w:lang w:val="ro-RO"/>
        </w:rPr>
        <w:t>1.</w:t>
      </w:r>
      <w:r w:rsidRPr="00B772FD">
        <w:rPr>
          <w:rFonts w:ascii="Times New Roman" w:hAnsi="Times New Roman" w:cs="Times New Roman"/>
          <w:b/>
          <w:color w:val="000000"/>
          <w:spacing w:val="3"/>
          <w:lang w:val="ro-RO"/>
        </w:rPr>
        <w:t xml:space="preserve"> </w:t>
      </w:r>
      <w:r w:rsidRPr="00127DFB">
        <w:rPr>
          <w:rFonts w:ascii="Times New Roman" w:hAnsi="Times New Roman" w:cs="Times New Roman"/>
          <w:b/>
          <w:shd w:val="clear" w:color="auto" w:fill="FFFFFF"/>
          <w:lang w:val="ro-RO"/>
        </w:rPr>
        <w:t>Reaprobarea taxelor de studii</w:t>
      </w:r>
      <w:r w:rsidRPr="00B772FD">
        <w:rPr>
          <w:rFonts w:ascii="Times New Roman" w:hAnsi="Times New Roman" w:cs="Times New Roman"/>
          <w:b/>
          <w:bCs/>
          <w:lang w:val="ro-RO"/>
        </w:rPr>
        <w:t xml:space="preserve"> </w:t>
      </w:r>
      <w:bookmarkStart w:id="0" w:name="_Hlk37016230"/>
      <w:bookmarkEnd w:id="0"/>
    </w:p>
    <w:p w:rsidR="00134FF9" w:rsidRPr="00B772FD" w:rsidRDefault="00134FF9" w:rsidP="00134FF9">
      <w:pPr>
        <w:pStyle w:val="Default"/>
        <w:ind w:firstLine="851"/>
        <w:jc w:val="both"/>
        <w:rPr>
          <w:iCs/>
          <w:sz w:val="20"/>
          <w:szCs w:val="20"/>
          <w:lang w:val="ro-RO"/>
        </w:rPr>
      </w:pPr>
      <w:r w:rsidRPr="00B772FD">
        <w:rPr>
          <w:sz w:val="20"/>
          <w:szCs w:val="20"/>
          <w:lang w:val="ro-RO"/>
        </w:rPr>
        <w:t xml:space="preserve">În baza prevederilor </w:t>
      </w:r>
      <w:r w:rsidRPr="00B772FD">
        <w:rPr>
          <w:i/>
          <w:sz w:val="20"/>
          <w:szCs w:val="20"/>
          <w:lang w:val="ro-RO"/>
        </w:rPr>
        <w:t>Codului educaţiei al Republicii Moldova nr. 152/2014</w:t>
      </w:r>
      <w:r w:rsidRPr="00B772FD">
        <w:rPr>
          <w:sz w:val="20"/>
          <w:szCs w:val="20"/>
          <w:lang w:val="ro-RO"/>
        </w:rPr>
        <w:t xml:space="preserve"> (art. 103);  Hotărârii Guvernului Nr. HG896/2014 din 27.10.2014 pentru aprobarea </w:t>
      </w:r>
      <w:r w:rsidRPr="00B772FD">
        <w:rPr>
          <w:i/>
          <w:sz w:val="20"/>
          <w:szCs w:val="20"/>
          <w:lang w:val="ro-RO"/>
        </w:rPr>
        <w:t>Nomenclatorului şi tarifelor la serviciile prestate contra plată, precum şi a Regulamentului cu privire la modul de formare şi utilizare a veniturilor colectate ale subdiviziunilor Ministerului Afacerilor Interne, autorităţilor administrative şi instituţiilor din subordinea acestuia</w:t>
      </w:r>
      <w:r>
        <w:rPr>
          <w:i/>
          <w:sz w:val="20"/>
          <w:szCs w:val="20"/>
          <w:lang w:val="ro-RO"/>
        </w:rPr>
        <w:t xml:space="preserve">; </w:t>
      </w:r>
      <w:r w:rsidRPr="00B772FD">
        <w:rPr>
          <w:sz w:val="20"/>
          <w:szCs w:val="20"/>
          <w:lang w:val="ro-RO"/>
        </w:rPr>
        <w:t xml:space="preserve">Metodologiei de stabilire a taxelor de studii pentru învăţământul superior, </w:t>
      </w:r>
      <w:bookmarkStart w:id="1" w:name="bookmark1"/>
      <w:proofErr w:type="spellStart"/>
      <w:r w:rsidRPr="00B772FD">
        <w:rPr>
          <w:sz w:val="20"/>
          <w:szCs w:val="20"/>
          <w:lang w:val="ro-RO"/>
        </w:rPr>
        <w:t>postdoctorat</w:t>
      </w:r>
      <w:proofErr w:type="spellEnd"/>
      <w:r w:rsidRPr="00B772FD">
        <w:rPr>
          <w:sz w:val="20"/>
          <w:szCs w:val="20"/>
          <w:lang w:val="ro-RO"/>
        </w:rPr>
        <w:t xml:space="preserve"> şi cursuri de formare profesională în cadrul</w:t>
      </w:r>
      <w:bookmarkEnd w:id="1"/>
      <w:r w:rsidRPr="00B772FD">
        <w:rPr>
          <w:sz w:val="20"/>
          <w:szCs w:val="20"/>
          <w:lang w:val="ro-RO"/>
        </w:rPr>
        <w:t xml:space="preserve"> Academiei ,,Ştefan cel Mare” a Ministerului Afacerilor Interne aprobată la ședința Senatului din 24.02.2021/PV nr.4</w:t>
      </w:r>
      <w:r>
        <w:rPr>
          <w:sz w:val="20"/>
          <w:szCs w:val="20"/>
          <w:lang w:val="ro-RO"/>
        </w:rPr>
        <w:t xml:space="preserve"> și </w:t>
      </w:r>
      <w:r w:rsidRPr="00B772FD">
        <w:rPr>
          <w:rStyle w:val="11"/>
          <w:i/>
          <w:sz w:val="20"/>
          <w:szCs w:val="20"/>
          <w:lang w:val="ro-RO" w:eastAsia="ro-RO"/>
        </w:rPr>
        <w:t xml:space="preserve">Regulamentului </w:t>
      </w:r>
      <w:r w:rsidRPr="00B772FD">
        <w:rPr>
          <w:i/>
          <w:sz w:val="20"/>
          <w:szCs w:val="20"/>
          <w:lang w:val="ro-RO"/>
        </w:rPr>
        <w:t xml:space="preserve">de organizare și funcționare al Senatului Academiei „Ștefan cel Mare” a MAI din </w:t>
      </w:r>
      <w:r w:rsidRPr="00B772FD">
        <w:rPr>
          <w:i/>
          <w:iCs/>
          <w:sz w:val="20"/>
          <w:szCs w:val="20"/>
          <w:lang w:val="ro-RO"/>
        </w:rPr>
        <w:t>11.10.2019</w:t>
      </w:r>
      <w:r w:rsidRPr="00B772FD">
        <w:rPr>
          <w:iCs/>
          <w:sz w:val="20"/>
          <w:szCs w:val="20"/>
          <w:lang w:val="ro-RO"/>
        </w:rPr>
        <w:t xml:space="preserve"> / proces-verbal nr. 2</w:t>
      </w:r>
      <w:r w:rsidRPr="00B772FD">
        <w:rPr>
          <w:rStyle w:val="11"/>
          <w:sz w:val="20"/>
          <w:szCs w:val="20"/>
          <w:lang w:val="ro-RO" w:eastAsia="ro-RO"/>
        </w:rPr>
        <w:t xml:space="preserve"> (p. 28),</w:t>
      </w:r>
    </w:p>
    <w:p w:rsidR="00134FF9" w:rsidRDefault="00134FF9" w:rsidP="00134FF9">
      <w:pPr>
        <w:pStyle w:val="Default"/>
        <w:ind w:firstLine="851"/>
        <w:jc w:val="both"/>
        <w:rPr>
          <w:b/>
          <w:lang w:val="ro-RO"/>
        </w:rPr>
      </w:pPr>
    </w:p>
    <w:p w:rsidR="00134FF9" w:rsidRDefault="00134FF9" w:rsidP="00134FF9">
      <w:pPr>
        <w:pStyle w:val="31"/>
        <w:spacing w:after="0"/>
        <w:ind w:left="-19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Senatul Hotărăşte:</w:t>
      </w:r>
    </w:p>
    <w:p w:rsidR="00134FF9" w:rsidRPr="001551A3" w:rsidRDefault="00134FF9" w:rsidP="00134FF9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pacing w:val="3"/>
          <w:lang w:val="ro-RO"/>
        </w:rPr>
      </w:pPr>
      <w:r w:rsidRPr="001551A3">
        <w:rPr>
          <w:rFonts w:ascii="Times New Roman" w:hAnsi="Times New Roman" w:cs="Times New Roman"/>
          <w:color w:val="000000"/>
          <w:spacing w:val="3"/>
          <w:lang w:val="ro-RO"/>
        </w:rPr>
        <w:t>Reaprobarea următoarelor taxe de studii valabile începând cu anul universitar 2026-2027</w:t>
      </w:r>
      <w:r w:rsidRPr="001551A3">
        <w:rPr>
          <w:rFonts w:ascii="Times New Roman" w:hAnsi="Times New Roman" w:cs="Times New Roman"/>
          <w:color w:val="000000"/>
          <w:spacing w:val="5"/>
          <w:lang w:val="ro-RO"/>
        </w:rPr>
        <w:t>:</w:t>
      </w:r>
    </w:p>
    <w:tbl>
      <w:tblPr>
        <w:tblStyle w:val="a4"/>
        <w:tblW w:w="9612" w:type="dxa"/>
        <w:tblLook w:val="04A0" w:firstRow="1" w:lastRow="0" w:firstColumn="1" w:lastColumn="0" w:noHBand="0" w:noVBand="1"/>
      </w:tblPr>
      <w:tblGrid>
        <w:gridCol w:w="3794"/>
        <w:gridCol w:w="1984"/>
        <w:gridCol w:w="3119"/>
        <w:gridCol w:w="715"/>
      </w:tblGrid>
      <w:tr w:rsidR="006115F2" w:rsidRPr="00134FF9" w:rsidTr="00134FF9">
        <w:tc>
          <w:tcPr>
            <w:tcW w:w="3794" w:type="dxa"/>
            <w:vAlign w:val="center"/>
          </w:tcPr>
          <w:p w:rsidR="006115F2" w:rsidRPr="00134FF9" w:rsidRDefault="006115F2" w:rsidP="00B70B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bCs/>
                <w:lang w:val="ro-RO"/>
              </w:rPr>
              <w:t>Domeniul de formare profesională</w:t>
            </w:r>
          </w:p>
        </w:tc>
        <w:tc>
          <w:tcPr>
            <w:tcW w:w="1984" w:type="dxa"/>
            <w:vAlign w:val="center"/>
          </w:tcPr>
          <w:p w:rsidR="006115F2" w:rsidRPr="00134FF9" w:rsidRDefault="006115F2" w:rsidP="00B70B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bCs/>
                <w:lang w:val="ro-RO"/>
              </w:rPr>
              <w:t>Forma de studii</w:t>
            </w:r>
          </w:p>
        </w:tc>
        <w:tc>
          <w:tcPr>
            <w:tcW w:w="3834" w:type="dxa"/>
            <w:gridSpan w:val="2"/>
            <w:vAlign w:val="center"/>
          </w:tcPr>
          <w:p w:rsidR="006115F2" w:rsidRPr="00134FF9" w:rsidRDefault="006115F2" w:rsidP="00B70B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bCs/>
                <w:lang w:val="ro-RO"/>
              </w:rPr>
              <w:t>2026-2027</w:t>
            </w:r>
          </w:p>
        </w:tc>
      </w:tr>
      <w:tr w:rsidR="00E074E7" w:rsidRPr="00F51E4A" w:rsidTr="00134FF9">
        <w:tc>
          <w:tcPr>
            <w:tcW w:w="3794" w:type="dxa"/>
            <w:vMerge w:val="restart"/>
          </w:tcPr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  <w:t xml:space="preserve">Ciclul I (licenţă) 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  <w:t>DREPT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frecvență(zi)</w:t>
            </w:r>
          </w:p>
        </w:tc>
        <w:tc>
          <w:tcPr>
            <w:tcW w:w="3119" w:type="dxa"/>
            <w:vAlign w:val="center"/>
          </w:tcPr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u w:val="single"/>
                <w:lang w:val="ro-RO"/>
              </w:rPr>
            </w:pPr>
            <w:r w:rsidRPr="00134FF9">
              <w:rPr>
                <w:rFonts w:ascii="Times New Roman" w:hAnsi="Times New Roman" w:cs="Times New Roman"/>
                <w:color w:val="0000FF"/>
                <w:u w:val="single"/>
                <w:lang w:val="ro-RO"/>
              </w:rPr>
              <w:t>12 500</w:t>
            </w:r>
            <w:r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vMerge w:val="restart"/>
            <w:textDirection w:val="btLr"/>
            <w:vAlign w:val="center"/>
          </w:tcPr>
          <w:p w:rsidR="00E074E7" w:rsidRPr="00134FF9" w:rsidRDefault="00E074E7" w:rsidP="00CF5B3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4FF9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Pentru cetățenii străini, taxa de studii se majorează de 1,5 ori. </w:t>
            </w:r>
          </w:p>
        </w:tc>
      </w:tr>
      <w:tr w:rsidR="00E074E7" w:rsidRPr="00134FF9" w:rsidTr="00134FF9">
        <w:tc>
          <w:tcPr>
            <w:tcW w:w="3794" w:type="dxa"/>
            <w:vMerge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 redusă</w:t>
            </w:r>
          </w:p>
        </w:tc>
        <w:tc>
          <w:tcPr>
            <w:tcW w:w="3119" w:type="dxa"/>
            <w:vAlign w:val="center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6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8 000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vMerge/>
            <w:vAlign w:val="center"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F51E4A" w:rsidTr="00134FF9">
        <w:tc>
          <w:tcPr>
            <w:tcW w:w="3794" w:type="dxa"/>
            <w:vMerge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color w:val="0000FF"/>
                <w:u w:val="single"/>
                <w:lang w:val="ro-RO"/>
              </w:rPr>
              <w:t>300</w:t>
            </w:r>
            <w:r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(susținerea repetată a examenului de promovare)</w:t>
            </w:r>
          </w:p>
        </w:tc>
        <w:tc>
          <w:tcPr>
            <w:tcW w:w="715" w:type="dxa"/>
            <w:vMerge/>
            <w:vAlign w:val="center"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134FF9" w:rsidTr="00134FF9">
        <w:tc>
          <w:tcPr>
            <w:tcW w:w="379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  <w:t xml:space="preserve">Ciclul I </w:t>
            </w:r>
            <w:r w:rsidRPr="00134FF9">
              <w:rPr>
                <w:rFonts w:ascii="Times New Roman" w:hAnsi="Times New Roman" w:cs="Times New Roman"/>
                <w:i/>
                <w:iCs/>
                <w:color w:val="538135"/>
                <w:lang w:val="ro-RO"/>
              </w:rPr>
              <w:t>(licenţă)</w:t>
            </w:r>
            <w:r w:rsidRPr="00134FF9"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  <w:t xml:space="preserve"> </w:t>
            </w:r>
          </w:p>
          <w:p w:rsidR="00E074E7" w:rsidRPr="00134FF9" w:rsidRDefault="00E074E7" w:rsidP="00B70B89">
            <w:pPr>
              <w:jc w:val="center"/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538135"/>
                <w:lang w:val="ro-RO"/>
              </w:rPr>
              <w:t>ŞTIINŢE ALE ADMINISTRAŢIEI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</w:t>
            </w:r>
          </w:p>
        </w:tc>
        <w:tc>
          <w:tcPr>
            <w:tcW w:w="3119" w:type="dxa"/>
            <w:vAlign w:val="center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7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9 000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</w:tc>
        <w:tc>
          <w:tcPr>
            <w:tcW w:w="715" w:type="dxa"/>
            <w:vMerge/>
            <w:vAlign w:val="center"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F51E4A" w:rsidTr="00134FF9">
        <w:tc>
          <w:tcPr>
            <w:tcW w:w="3794" w:type="dxa"/>
          </w:tcPr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  <w:t>Ciclul II (master)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2E74B5"/>
                <w:u w:val="single"/>
                <w:lang w:val="ro-RO"/>
              </w:rPr>
              <w:t>90 credite</w:t>
            </w:r>
            <w:r w:rsidRPr="00134FF9"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  <w:t>/ECTS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</w:t>
            </w: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8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13 000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(pt. întreaga perioadă de studii 1,5 ani universitari)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vMerge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F51E4A" w:rsidTr="00134FF9">
        <w:tc>
          <w:tcPr>
            <w:tcW w:w="3794" w:type="dxa"/>
          </w:tcPr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2E74B5"/>
                <w:lang w:val="ro-RO"/>
              </w:rPr>
              <w:t>Ciclul II</w:t>
            </w:r>
            <w:r w:rsidRPr="00134FF9"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  <w:t xml:space="preserve"> (master)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2E74B5"/>
                <w:u w:val="single"/>
                <w:lang w:val="ro-RO"/>
              </w:rPr>
              <w:t>120 credite</w:t>
            </w:r>
            <w:r w:rsidRPr="00134FF9"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  <w:t>/ECTS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</w:t>
            </w: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9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17 000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(pt. întreaga perioadă de studii 2 ani universitari)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vMerge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134FF9" w:rsidTr="00134FF9">
        <w:tc>
          <w:tcPr>
            <w:tcW w:w="3794" w:type="dxa"/>
          </w:tcPr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  <w:t xml:space="preserve">Acumularea/studierea </w:t>
            </w:r>
          </w:p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2E74B5"/>
                <w:lang w:val="ro-RO"/>
              </w:rPr>
              <w:t xml:space="preserve">minimului curricular masterat </w:t>
            </w:r>
            <w:r w:rsidRPr="00134FF9">
              <w:rPr>
                <w:rFonts w:ascii="Times New Roman" w:hAnsi="Times New Roman" w:cs="Times New Roman"/>
                <w:b/>
                <w:i/>
                <w:iCs/>
                <w:color w:val="2E74B5"/>
                <w:u w:val="single"/>
                <w:lang w:val="ro-RO"/>
              </w:rPr>
              <w:t>30 credite/ECTS</w:t>
            </w:r>
          </w:p>
          <w:p w:rsidR="00E074E7" w:rsidRPr="00134FF9" w:rsidRDefault="00E074E7" w:rsidP="00B70B89">
            <w:pPr>
              <w:shd w:val="clear" w:color="auto" w:fill="FFFFFF"/>
              <w:rPr>
                <w:rFonts w:ascii="Times New Roman" w:hAnsi="Times New Roman" w:cs="Times New Roman"/>
                <w:iCs/>
                <w:color w:val="2E74B5"/>
                <w:lang w:val="ro-RO"/>
              </w:rPr>
            </w:pPr>
            <w:r w:rsidRPr="00134FF9">
              <w:rPr>
                <w:rFonts w:ascii="Times New Roman" w:hAnsi="Times New Roman" w:cs="Times New Roman"/>
                <w:iCs/>
                <w:color w:val="2E74B5"/>
                <w:lang w:val="ro-RO"/>
              </w:rPr>
              <w:t>(pt. candidaţii ca la ciclul I licenţă, nu a studiat discipline juridice )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>Cu frecvență</w:t>
            </w: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10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2 500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vMerge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134FF9" w:rsidTr="00134FF9">
        <w:tc>
          <w:tcPr>
            <w:tcW w:w="3794" w:type="dxa"/>
            <w:vMerge w:val="restart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b/>
                <w:color w:val="943634" w:themeColor="accent2" w:themeShade="BF"/>
                <w:lang w:val="en-US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943634" w:themeColor="accent2" w:themeShade="BF"/>
                <w:lang w:val="ro-RO"/>
              </w:rPr>
              <w:t>Ciclul III (doctorat)</w:t>
            </w: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11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15 000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</w:tc>
        <w:tc>
          <w:tcPr>
            <w:tcW w:w="715" w:type="dxa"/>
            <w:vMerge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F51E4A" w:rsidTr="00134FF9">
        <w:tc>
          <w:tcPr>
            <w:tcW w:w="3794" w:type="dxa"/>
            <w:vMerge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b/>
                <w:color w:val="943634" w:themeColor="accent2" w:themeShade="BF"/>
                <w:lang w:val="en-US"/>
              </w:rPr>
            </w:pPr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12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11 000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  <w:p w:rsidR="00E074E7" w:rsidRPr="00134FF9" w:rsidRDefault="00E074E7" w:rsidP="00721E5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34FF9">
              <w:rPr>
                <w:rFonts w:ascii="Times New Roman" w:hAnsi="Times New Roman" w:cs="Times New Roman"/>
                <w:lang w:val="ro-RO"/>
              </w:rPr>
              <w:t xml:space="preserve">(Pentru </w:t>
            </w:r>
            <w:r w:rsidR="00721E57" w:rsidRPr="00134FF9">
              <w:rPr>
                <w:rFonts w:ascii="Times New Roman" w:hAnsi="Times New Roman" w:cs="Times New Roman"/>
                <w:lang w:val="ro-RO"/>
              </w:rPr>
              <w:t>MAI, autoritățile administrative și instituțiile din subordinea</w:t>
            </w:r>
            <w:r w:rsidR="00382889" w:rsidRPr="00134FF9">
              <w:rPr>
                <w:rFonts w:ascii="Times New Roman" w:hAnsi="Times New Roman" w:cs="Times New Roman"/>
                <w:lang w:val="ro-RO"/>
              </w:rPr>
              <w:t xml:space="preserve"> acestuia</w:t>
            </w:r>
            <w:r w:rsidRPr="00134FF9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715" w:type="dxa"/>
            <w:vMerge/>
          </w:tcPr>
          <w:p w:rsidR="00E074E7" w:rsidRPr="00134FF9" w:rsidRDefault="00E074E7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74E7" w:rsidRPr="00134FF9" w:rsidTr="00134FF9">
        <w:tc>
          <w:tcPr>
            <w:tcW w:w="379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b/>
                <w:color w:val="943634" w:themeColor="accent2" w:themeShade="BF"/>
                <w:lang w:val="en-US"/>
              </w:rPr>
            </w:pPr>
            <w:r w:rsidRPr="00134FF9">
              <w:rPr>
                <w:rFonts w:ascii="Times New Roman" w:hAnsi="Times New Roman" w:cs="Times New Roman"/>
                <w:b/>
                <w:i/>
                <w:iCs/>
                <w:color w:val="943634" w:themeColor="accent2" w:themeShade="BF"/>
                <w:lang w:val="ro-RO"/>
              </w:rPr>
              <w:t xml:space="preserve">Studii </w:t>
            </w:r>
            <w:proofErr w:type="spellStart"/>
            <w:r w:rsidRPr="00134FF9">
              <w:rPr>
                <w:rFonts w:ascii="Times New Roman" w:hAnsi="Times New Roman" w:cs="Times New Roman"/>
                <w:b/>
                <w:i/>
                <w:iCs/>
                <w:color w:val="943634" w:themeColor="accent2" w:themeShade="BF"/>
                <w:lang w:val="ro-RO"/>
              </w:rPr>
              <w:t>postdoctorat</w:t>
            </w:r>
            <w:proofErr w:type="spellEnd"/>
          </w:p>
        </w:tc>
        <w:tc>
          <w:tcPr>
            <w:tcW w:w="1984" w:type="dxa"/>
          </w:tcPr>
          <w:p w:rsidR="00E074E7" w:rsidRPr="00134FF9" w:rsidRDefault="00E074E7" w:rsidP="00B70B89">
            <w:pPr>
              <w:rPr>
                <w:rFonts w:ascii="Times New Roman" w:hAnsi="Times New Roman" w:cs="Times New Roman"/>
                <w:color w:val="27251E"/>
                <w:lang w:val="en-US"/>
              </w:rPr>
            </w:pPr>
          </w:p>
        </w:tc>
        <w:tc>
          <w:tcPr>
            <w:tcW w:w="3119" w:type="dxa"/>
          </w:tcPr>
          <w:p w:rsidR="00E074E7" w:rsidRPr="00134FF9" w:rsidRDefault="00F51E4A" w:rsidP="00B70B8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  <w:hyperlink r:id="rId13" w:history="1">
              <w:r w:rsidR="00E074E7" w:rsidRPr="00134FF9">
                <w:rPr>
                  <w:rStyle w:val="a5"/>
                  <w:rFonts w:ascii="Times New Roman" w:hAnsi="Times New Roman" w:cs="Times New Roman"/>
                  <w:lang w:val="ro-RO"/>
                </w:rPr>
                <w:t>20 000</w:t>
              </w:r>
            </w:hyperlink>
            <w:r w:rsidR="00E074E7" w:rsidRPr="00134FF9">
              <w:rPr>
                <w:rFonts w:ascii="Times New Roman" w:hAnsi="Times New Roman" w:cs="Times New Roman"/>
                <w:lang w:val="ro-RO"/>
              </w:rPr>
              <w:t xml:space="preserve"> MDL</w:t>
            </w:r>
          </w:p>
        </w:tc>
        <w:tc>
          <w:tcPr>
            <w:tcW w:w="715" w:type="dxa"/>
            <w:vMerge/>
          </w:tcPr>
          <w:p w:rsidR="00E074E7" w:rsidRPr="00134FF9" w:rsidRDefault="00E074E7" w:rsidP="00CF5B3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134FF9" w:rsidRDefault="00134FF9" w:rsidP="00B70B89">
      <w:pPr>
        <w:spacing w:after="0"/>
        <w:rPr>
          <w:rFonts w:ascii="Georgia" w:hAnsi="Georgia"/>
          <w:color w:val="27251E"/>
          <w:lang w:val="en-US"/>
        </w:rPr>
      </w:pPr>
    </w:p>
    <w:p w:rsidR="006C467E" w:rsidRPr="00F51E4A" w:rsidRDefault="00481B52" w:rsidP="00134FF9">
      <w:pPr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E4A">
        <w:rPr>
          <w:rFonts w:ascii="Times New Roman" w:hAnsi="Times New Roman" w:cs="Times New Roman"/>
          <w:b/>
          <w:i/>
          <w:color w:val="FF0000"/>
          <w:sz w:val="24"/>
          <w:szCs w:val="24"/>
          <w:highlight w:val="cyan"/>
          <w:u w:val="single"/>
          <w:lang w:val="ro-RO"/>
        </w:rPr>
        <w:t xml:space="preserve">Taxa de </w:t>
      </w:r>
      <w:proofErr w:type="spellStart"/>
      <w:r w:rsidRPr="00F51E4A">
        <w:rPr>
          <w:rFonts w:ascii="Times New Roman" w:hAnsi="Times New Roman" w:cs="Times New Roman"/>
          <w:b/>
          <w:i/>
          <w:color w:val="FF0000"/>
          <w:sz w:val="24"/>
          <w:szCs w:val="24"/>
          <w:highlight w:val="cyan"/>
          <w:u w:val="single"/>
          <w:lang w:val="ro-RO"/>
        </w:rPr>
        <w:t>inscriere</w:t>
      </w:r>
      <w:proofErr w:type="spellEnd"/>
      <w:r w:rsidRPr="00F51E4A">
        <w:rPr>
          <w:rFonts w:ascii="Times New Roman" w:hAnsi="Times New Roman" w:cs="Times New Roman"/>
          <w:b/>
          <w:i/>
          <w:color w:val="FF0000"/>
          <w:sz w:val="24"/>
          <w:szCs w:val="24"/>
          <w:highlight w:val="cyan"/>
          <w:u w:val="single"/>
          <w:lang w:val="ro-RO"/>
        </w:rPr>
        <w:t xml:space="preserve"> nu va fi percepută</w:t>
      </w:r>
      <w:r w:rsidRPr="00F51E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la candidații</w:t>
      </w:r>
      <w:r w:rsidRPr="00F51E4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care aplica la </w:t>
      </w:r>
      <w:r w:rsidRPr="00F51E4A">
        <w:rPr>
          <w:rFonts w:ascii="Times New Roman" w:hAnsi="Times New Roman" w:cs="Times New Roman"/>
          <w:b/>
          <w:i/>
          <w:sz w:val="24"/>
          <w:szCs w:val="24"/>
          <w:lang w:val="ro-RO"/>
        </w:rPr>
        <w:t>Academia „Ştefan cel Mare" a MAI</w:t>
      </w:r>
      <w:r w:rsidR="003C5E49" w:rsidRPr="00F51E4A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134FF9" w:rsidRDefault="00134FF9" w:rsidP="006C467E">
      <w:pPr>
        <w:pStyle w:val="3"/>
        <w:tabs>
          <w:tab w:val="left" w:pos="1260"/>
        </w:tabs>
        <w:rPr>
          <w:rFonts w:ascii="Georgia" w:hAnsi="Georgia"/>
          <w:color w:val="27251E"/>
          <w:lang w:val="en-US"/>
        </w:rPr>
      </w:pPr>
      <w:bookmarkStart w:id="2" w:name="_GoBack"/>
      <w:bookmarkEnd w:id="2"/>
    </w:p>
    <w:sectPr w:rsidR="00134FF9" w:rsidSect="00134FF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FC9"/>
    <w:multiLevelType w:val="hybridMultilevel"/>
    <w:tmpl w:val="1DA23E08"/>
    <w:lvl w:ilvl="0" w:tplc="6C022808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3" w:hanging="360"/>
      </w:pPr>
    </w:lvl>
    <w:lvl w:ilvl="2" w:tplc="0418001B" w:tentative="1">
      <w:start w:val="1"/>
      <w:numFmt w:val="lowerRoman"/>
      <w:lvlText w:val="%3."/>
      <w:lvlJc w:val="right"/>
      <w:pPr>
        <w:ind w:left="2513" w:hanging="180"/>
      </w:pPr>
    </w:lvl>
    <w:lvl w:ilvl="3" w:tplc="0418000F" w:tentative="1">
      <w:start w:val="1"/>
      <w:numFmt w:val="decimal"/>
      <w:lvlText w:val="%4."/>
      <w:lvlJc w:val="left"/>
      <w:pPr>
        <w:ind w:left="3233" w:hanging="360"/>
      </w:pPr>
    </w:lvl>
    <w:lvl w:ilvl="4" w:tplc="04180019" w:tentative="1">
      <w:start w:val="1"/>
      <w:numFmt w:val="lowerLetter"/>
      <w:lvlText w:val="%5."/>
      <w:lvlJc w:val="left"/>
      <w:pPr>
        <w:ind w:left="3953" w:hanging="360"/>
      </w:pPr>
    </w:lvl>
    <w:lvl w:ilvl="5" w:tplc="0418001B" w:tentative="1">
      <w:start w:val="1"/>
      <w:numFmt w:val="lowerRoman"/>
      <w:lvlText w:val="%6."/>
      <w:lvlJc w:val="right"/>
      <w:pPr>
        <w:ind w:left="4673" w:hanging="180"/>
      </w:pPr>
    </w:lvl>
    <w:lvl w:ilvl="6" w:tplc="0418000F" w:tentative="1">
      <w:start w:val="1"/>
      <w:numFmt w:val="decimal"/>
      <w:lvlText w:val="%7."/>
      <w:lvlJc w:val="left"/>
      <w:pPr>
        <w:ind w:left="5393" w:hanging="360"/>
      </w:pPr>
    </w:lvl>
    <w:lvl w:ilvl="7" w:tplc="04180019" w:tentative="1">
      <w:start w:val="1"/>
      <w:numFmt w:val="lowerLetter"/>
      <w:lvlText w:val="%8."/>
      <w:lvlJc w:val="left"/>
      <w:pPr>
        <w:ind w:left="6113" w:hanging="360"/>
      </w:pPr>
    </w:lvl>
    <w:lvl w:ilvl="8" w:tplc="0418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F2"/>
    <w:rsid w:val="00000B0D"/>
    <w:rsid w:val="00064B6A"/>
    <w:rsid w:val="00134FF9"/>
    <w:rsid w:val="0016022D"/>
    <w:rsid w:val="001E57BF"/>
    <w:rsid w:val="00382889"/>
    <w:rsid w:val="00397AD3"/>
    <w:rsid w:val="003C172D"/>
    <w:rsid w:val="003C5E49"/>
    <w:rsid w:val="00481B52"/>
    <w:rsid w:val="006115F2"/>
    <w:rsid w:val="006541EE"/>
    <w:rsid w:val="006C467E"/>
    <w:rsid w:val="00721E57"/>
    <w:rsid w:val="0078490F"/>
    <w:rsid w:val="00803DB8"/>
    <w:rsid w:val="00871024"/>
    <w:rsid w:val="008B43CA"/>
    <w:rsid w:val="00911793"/>
    <w:rsid w:val="00AC3357"/>
    <w:rsid w:val="00B70B89"/>
    <w:rsid w:val="00BB459A"/>
    <w:rsid w:val="00BE6209"/>
    <w:rsid w:val="00C17F32"/>
    <w:rsid w:val="00CF278B"/>
    <w:rsid w:val="00CF5B38"/>
    <w:rsid w:val="00D27181"/>
    <w:rsid w:val="00D44CB1"/>
    <w:rsid w:val="00E074E7"/>
    <w:rsid w:val="00EF39B9"/>
    <w:rsid w:val="00F312C2"/>
    <w:rsid w:val="00F5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FF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34FF9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3">
    <w:name w:val="heading 3"/>
    <w:basedOn w:val="a"/>
    <w:next w:val="a"/>
    <w:link w:val="30"/>
    <w:unhideWhenUsed/>
    <w:qFormat/>
    <w:rsid w:val="00134F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5F2"/>
    <w:rPr>
      <w:b/>
      <w:bCs/>
    </w:rPr>
  </w:style>
  <w:style w:type="table" w:styleId="a4">
    <w:name w:val="Table Grid"/>
    <w:basedOn w:val="a1"/>
    <w:uiPriority w:val="59"/>
    <w:rsid w:val="0061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15F2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134FF9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134FF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134FF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31">
    <w:name w:val="Body Text Indent 3"/>
    <w:basedOn w:val="a"/>
    <w:link w:val="32"/>
    <w:semiHidden/>
    <w:unhideWhenUsed/>
    <w:rsid w:val="00134F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34F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34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rsid w:val="00134FF9"/>
    <w:rPr>
      <w:rFonts w:ascii="Times New Roman" w:hAnsi="Times New Roman" w:cs="Times New Roman" w:hint="default"/>
      <w:spacing w:val="4"/>
      <w:shd w:val="clear" w:color="auto" w:fill="FFFFFF"/>
    </w:rPr>
  </w:style>
  <w:style w:type="paragraph" w:styleId="a6">
    <w:name w:val="List Paragraph"/>
    <w:basedOn w:val="a"/>
    <w:uiPriority w:val="34"/>
    <w:qFormat/>
    <w:rsid w:val="00134FF9"/>
    <w:pPr>
      <w:spacing w:after="0" w:line="240" w:lineRule="auto"/>
      <w:ind w:left="720"/>
      <w:contextualSpacing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FF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34FF9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3">
    <w:name w:val="heading 3"/>
    <w:basedOn w:val="a"/>
    <w:next w:val="a"/>
    <w:link w:val="30"/>
    <w:unhideWhenUsed/>
    <w:qFormat/>
    <w:rsid w:val="00134F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5F2"/>
    <w:rPr>
      <w:b/>
      <w:bCs/>
    </w:rPr>
  </w:style>
  <w:style w:type="table" w:styleId="a4">
    <w:name w:val="Table Grid"/>
    <w:basedOn w:val="a1"/>
    <w:uiPriority w:val="59"/>
    <w:rsid w:val="0061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15F2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134FF9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134FF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134FF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31">
    <w:name w:val="Body Text Indent 3"/>
    <w:basedOn w:val="a"/>
    <w:link w:val="32"/>
    <w:semiHidden/>
    <w:unhideWhenUsed/>
    <w:rsid w:val="00134F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34F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34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rsid w:val="00134FF9"/>
    <w:rPr>
      <w:rFonts w:ascii="Times New Roman" w:hAnsi="Times New Roman" w:cs="Times New Roman" w:hint="default"/>
      <w:spacing w:val="4"/>
      <w:shd w:val="clear" w:color="auto" w:fill="FFFFFF"/>
    </w:rPr>
  </w:style>
  <w:style w:type="paragraph" w:styleId="a6">
    <w:name w:val="List Paragraph"/>
    <w:basedOn w:val="a"/>
    <w:uiPriority w:val="34"/>
    <w:qFormat/>
    <w:rsid w:val="00134FF9"/>
    <w:pPr>
      <w:spacing w:after="0" w:line="240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police.md/assets/files/pdf/taxele2020.pdf" TargetMode="External"/><Relationship Id="rId13" Type="http://schemas.openxmlformats.org/officeDocument/2006/relationships/hyperlink" Target="https://academy.police.md/assets/files/pdf/taxele20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ademy.police.md/assets/files/pdf/taxele2020.pdf" TargetMode="External"/><Relationship Id="rId12" Type="http://schemas.openxmlformats.org/officeDocument/2006/relationships/hyperlink" Target="https://academy.police.md/assets/files/pdf/taxele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police.md/assets/files/pdf/taxele2020.pdf" TargetMode="External"/><Relationship Id="rId11" Type="http://schemas.openxmlformats.org/officeDocument/2006/relationships/hyperlink" Target="https://academy.police.md/assets/files/pdf/taxele20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ademy.police.md/assets/files/pdf/taxele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y.police.md/assets/files/pdf/taxele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</dc:creator>
  <cp:lastModifiedBy>Crim</cp:lastModifiedBy>
  <cp:revision>6</cp:revision>
  <cp:lastPrinted>2026-05-18T07:52:00Z</cp:lastPrinted>
  <dcterms:created xsi:type="dcterms:W3CDTF">2026-05-18T07:27:00Z</dcterms:created>
  <dcterms:modified xsi:type="dcterms:W3CDTF">2026-05-21T07:09:00Z</dcterms:modified>
</cp:coreProperties>
</file>